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AB76" w14:textId="77777777" w:rsidR="00D2152D" w:rsidRDefault="00D2152D" w:rsidP="0072333A">
      <w:pPr>
        <w:ind w:left="425"/>
      </w:pPr>
    </w:p>
    <w:p w14:paraId="48EF816B" w14:textId="77777777" w:rsidR="007E0D20" w:rsidRPr="007E0D20" w:rsidRDefault="007E0D20" w:rsidP="001A59DC">
      <w:pPr>
        <w:ind w:left="425"/>
        <w:jc w:val="center"/>
        <w:rPr>
          <w:rFonts w:ascii="Arial" w:hAnsi="Arial" w:cs="Arial"/>
          <w:b/>
          <w:bCs/>
          <w:color w:val="00B0F0"/>
          <w:sz w:val="36"/>
          <w:szCs w:val="36"/>
          <w:lang w:val="fr-FR"/>
        </w:rPr>
      </w:pPr>
      <w:r w:rsidRPr="007E0D20">
        <w:rPr>
          <w:rFonts w:ascii="Arial" w:hAnsi="Arial" w:cs="Arial"/>
          <w:b/>
          <w:bCs/>
          <w:color w:val="00B0F0"/>
          <w:sz w:val="36"/>
          <w:szCs w:val="36"/>
          <w:lang w:val="fr-FR"/>
        </w:rPr>
        <w:t>Le 1</w:t>
      </w:r>
      <w:r w:rsidRPr="007E0D20">
        <w:rPr>
          <w:rFonts w:ascii="Arial" w:hAnsi="Arial" w:cs="Arial"/>
          <w:b/>
          <w:bCs/>
          <w:color w:val="00B0F0"/>
          <w:sz w:val="36"/>
          <w:szCs w:val="36"/>
          <w:vertAlign w:val="superscript"/>
          <w:lang w:val="fr-FR"/>
        </w:rPr>
        <w:t>er</w:t>
      </w:r>
      <w:r w:rsidRPr="007E0D20">
        <w:rPr>
          <w:rFonts w:ascii="Arial" w:hAnsi="Arial" w:cs="Arial"/>
          <w:b/>
          <w:bCs/>
          <w:color w:val="00B0F0"/>
          <w:sz w:val="36"/>
          <w:szCs w:val="36"/>
          <w:lang w:val="fr-FR"/>
        </w:rPr>
        <w:t xml:space="preserve"> réseau social révélateur d’affinités professionnelles entre candidats et entreprises</w:t>
      </w:r>
    </w:p>
    <w:p w14:paraId="2744BE83" w14:textId="77777777" w:rsidR="00F570D7" w:rsidRPr="00F570D7" w:rsidRDefault="00F570D7" w:rsidP="001A59DC">
      <w:pPr>
        <w:ind w:left="425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34D7CDC" w14:textId="77777777" w:rsidR="007D2F7C" w:rsidRPr="007D2F7C" w:rsidRDefault="00F570D7" w:rsidP="00532597">
      <w:pPr>
        <w:ind w:left="425"/>
        <w:jc w:val="center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7F07C" wp14:editId="39A19AFE">
                <wp:simplePos x="0" y="0"/>
                <wp:positionH relativeFrom="leftMargin">
                  <wp:align>right</wp:align>
                </wp:positionH>
                <wp:positionV relativeFrom="paragraph">
                  <wp:posOffset>299085</wp:posOffset>
                </wp:positionV>
                <wp:extent cx="581025" cy="4572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8102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E5E26" w14:textId="77777777" w:rsidR="00046464" w:rsidRPr="00D2152D" w:rsidRDefault="00046464">
                            <w:pPr>
                              <w:rPr>
                                <w:rFonts w:ascii="Rockwell" w:hAnsi="Rockwell"/>
                                <w:color w:val="50AFFF"/>
                                <w:sz w:val="56"/>
                                <w:szCs w:val="56"/>
                              </w:rPr>
                            </w:pPr>
                            <w:r w:rsidRPr="00D2152D">
                              <w:rPr>
                                <w:rFonts w:ascii="Rockwell" w:hAnsi="Rockwell"/>
                                <w:color w:val="50AFFF"/>
                                <w:sz w:val="56"/>
                                <w:szCs w:val="56"/>
                              </w:rPr>
                              <w:t>COMMUNIQUE DE PRESSE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607F07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45pt;margin-top:23.55pt;width:45.75pt;height:5in;rotation:18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" filled="f" stroked="f">
                <v:textbox style="layout-flow:vertical-ideographic">
                  <w:txbxContent>
                    <w:p w14:paraId="7BEE5E26" w14:textId="77777777" w:rsidR="00D2152D" w:rsidRPr="00D2152D" w:rsidRDefault="00D2152D">
                      <w:pPr>
                        <w:rPr>
                          <w:rFonts w:ascii="Rockwell" w:hAnsi="Rockwell"/>
                          <w:color w:val="50AFFF"/>
                          <w:sz w:val="56"/>
                          <w:szCs w:val="56"/>
                        </w:rPr>
                      </w:pPr>
                      <w:r w:rsidRPr="00D2152D">
                        <w:rPr>
                          <w:rFonts w:ascii="Rockwell" w:hAnsi="Rockwell"/>
                          <w:color w:val="50AFFF"/>
                          <w:sz w:val="56"/>
                          <w:szCs w:val="56"/>
                        </w:rPr>
                        <w:t>COMMUNIQUE DE PRESSE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F7C" w:rsidRPr="00496B25">
        <w:rPr>
          <w:bCs/>
          <w:i/>
          <w:iCs/>
          <w:sz w:val="28"/>
          <w:szCs w:val="28"/>
          <w:lang w:val="fr-FR"/>
        </w:rPr>
        <w:t>Une innovation dans l’univers du recrutement des stagiaires</w:t>
      </w:r>
    </w:p>
    <w:p w14:paraId="1EBBD286" w14:textId="77777777" w:rsidR="00D2152D" w:rsidRPr="007D2F7C" w:rsidRDefault="00D2152D" w:rsidP="0072333A">
      <w:pPr>
        <w:ind w:left="425"/>
        <w:rPr>
          <w:lang w:val="fr-FR"/>
        </w:rPr>
      </w:pPr>
    </w:p>
    <w:p w14:paraId="268826EA" w14:textId="77777777" w:rsidR="00D2152D" w:rsidRPr="007D2F7C" w:rsidRDefault="00D2152D" w:rsidP="0072333A">
      <w:pPr>
        <w:ind w:left="425"/>
        <w:rPr>
          <w:rFonts w:ascii="Arial" w:hAnsi="Arial" w:cs="Arial"/>
          <w:lang w:val="fr-FR"/>
        </w:rPr>
      </w:pPr>
    </w:p>
    <w:p w14:paraId="50499661" w14:textId="2C9ED752" w:rsidR="007D2F7C" w:rsidRPr="00361E4A" w:rsidRDefault="007D2F7C" w:rsidP="0078389B">
      <w:pPr>
        <w:pStyle w:val="NormalWeb"/>
        <w:spacing w:before="0" w:beforeAutospacing="0" w:after="0" w:afterAutospacing="0" w:line="320" w:lineRule="exact"/>
        <w:ind w:left="142" w:right="142"/>
        <w:jc w:val="both"/>
        <w:rPr>
          <w:rFonts w:ascii="Arial" w:eastAsiaTheme="minorEastAsia" w:hAnsi="Arial" w:cs="Arial"/>
          <w:b/>
          <w:color w:val="3D3D3D"/>
          <w:sz w:val="22"/>
          <w:szCs w:val="22"/>
        </w:rPr>
      </w:pPr>
      <w:r w:rsidRPr="00496B25">
        <w:rPr>
          <w:rFonts w:ascii="Arial" w:eastAsiaTheme="minorEastAsia" w:hAnsi="Arial" w:cs="Arial"/>
          <w:b/>
          <w:bCs/>
          <w:color w:val="3D3D3D"/>
          <w:sz w:val="22"/>
          <w:szCs w:val="22"/>
        </w:rPr>
        <w:t xml:space="preserve">Paris, le </w:t>
      </w:r>
      <w:r w:rsidR="00532597" w:rsidRPr="00532597">
        <w:rPr>
          <w:rFonts w:ascii="Arial" w:eastAsiaTheme="minorEastAsia" w:hAnsi="Arial" w:cs="Arial"/>
          <w:b/>
          <w:bCs/>
          <w:color w:val="3D3D3D"/>
          <w:sz w:val="22"/>
          <w:szCs w:val="22"/>
        </w:rPr>
        <w:t xml:space="preserve">06 novembre </w:t>
      </w:r>
      <w:r w:rsidRPr="00496B25">
        <w:rPr>
          <w:rFonts w:ascii="Arial" w:eastAsiaTheme="minorEastAsia" w:hAnsi="Arial" w:cs="Arial"/>
          <w:b/>
          <w:bCs/>
          <w:color w:val="3D3D3D"/>
          <w:sz w:val="22"/>
          <w:szCs w:val="22"/>
        </w:rPr>
        <w:t xml:space="preserve">2014 - </w:t>
      </w:r>
      <w:proofErr w:type="spellStart"/>
      <w:r w:rsidRPr="00496B25">
        <w:rPr>
          <w:rFonts w:ascii="Arial" w:eastAsiaTheme="minorEastAsia" w:hAnsi="Arial" w:cs="Arial"/>
          <w:b/>
          <w:color w:val="3D3D3D"/>
          <w:sz w:val="22"/>
          <w:szCs w:val="22"/>
        </w:rPr>
        <w:t>Takewinc</w:t>
      </w:r>
      <w:proofErr w:type="spellEnd"/>
      <w:r w:rsidRPr="00496B25">
        <w:rPr>
          <w:rFonts w:ascii="Arial" w:eastAsiaTheme="minorEastAsia" w:hAnsi="Arial" w:cs="Arial"/>
          <w:b/>
          <w:color w:val="3D3D3D"/>
          <w:sz w:val="22"/>
          <w:szCs w:val="22"/>
        </w:rPr>
        <w:t xml:space="preserve">, premier réseau social de mise en relation dédié </w:t>
      </w:r>
      <w:r w:rsidRPr="00D1072E">
        <w:rPr>
          <w:rFonts w:ascii="Arial" w:eastAsiaTheme="minorEastAsia" w:hAnsi="Arial" w:cs="Arial"/>
          <w:b/>
          <w:color w:val="3D3D3D"/>
          <w:sz w:val="22"/>
          <w:szCs w:val="22"/>
        </w:rPr>
        <w:t xml:space="preserve">au recrutement des futurs stagiaires annonce </w:t>
      </w:r>
      <w:r w:rsidR="0078389B">
        <w:rPr>
          <w:rFonts w:ascii="Arial" w:eastAsiaTheme="minorEastAsia" w:hAnsi="Arial" w:cs="Arial"/>
          <w:b/>
          <w:color w:val="3D3D3D"/>
          <w:sz w:val="22"/>
          <w:szCs w:val="22"/>
        </w:rPr>
        <w:t>le lancement de sa nouvelle version le 2</w:t>
      </w:r>
      <w:r w:rsidR="00532597" w:rsidRPr="00D1072E">
        <w:rPr>
          <w:rFonts w:ascii="Arial" w:eastAsiaTheme="minorEastAsia" w:hAnsi="Arial" w:cs="Arial"/>
          <w:b/>
          <w:color w:val="3D3D3D"/>
          <w:sz w:val="22"/>
          <w:szCs w:val="22"/>
        </w:rPr>
        <w:t xml:space="preserve">5 novembre 2014 </w:t>
      </w:r>
      <w:bookmarkStart w:id="0" w:name="_GoBack"/>
      <w:bookmarkEnd w:id="0"/>
      <w:r w:rsidR="00FC204A" w:rsidRPr="00D1072E">
        <w:rPr>
          <w:rFonts w:ascii="Arial" w:eastAsiaTheme="minorEastAsia" w:hAnsi="Arial" w:cs="Arial"/>
          <w:b/>
          <w:color w:val="3D3D3D"/>
          <w:sz w:val="22"/>
          <w:szCs w:val="22"/>
        </w:rPr>
        <w:t xml:space="preserve">au </w:t>
      </w:r>
      <w:hyperlink r:id="rId9" w:history="1">
        <w:r w:rsidR="00FC204A" w:rsidRPr="00D1072E">
          <w:rPr>
            <w:rFonts w:ascii="Arial" w:eastAsiaTheme="minorEastAsia" w:hAnsi="Arial" w:cs="Arial"/>
            <w:b/>
            <w:color w:val="3D3D3D"/>
            <w:sz w:val="22"/>
            <w:szCs w:val="22"/>
          </w:rPr>
          <w:t xml:space="preserve">salon HR </w:t>
        </w:r>
        <w:proofErr w:type="spellStart"/>
        <w:r w:rsidR="00FC204A" w:rsidRPr="00D1072E">
          <w:rPr>
            <w:rFonts w:ascii="Arial" w:eastAsiaTheme="minorEastAsia" w:hAnsi="Arial" w:cs="Arial"/>
            <w:b/>
            <w:color w:val="3D3D3D"/>
            <w:sz w:val="22"/>
            <w:szCs w:val="22"/>
          </w:rPr>
          <w:t>Speaks</w:t>
        </w:r>
        <w:proofErr w:type="spellEnd"/>
      </w:hyperlink>
      <w:r w:rsidRPr="00D1072E">
        <w:rPr>
          <w:rFonts w:ascii="Arial" w:eastAsiaTheme="minorEastAsia" w:hAnsi="Arial" w:cs="Arial"/>
          <w:b/>
          <w:color w:val="3D3D3D"/>
          <w:sz w:val="22"/>
          <w:szCs w:val="22"/>
        </w:rPr>
        <w:t>. Ce réseau social</w:t>
      </w:r>
      <w:r w:rsidR="00361E4A" w:rsidRPr="00D1072E">
        <w:rPr>
          <w:rFonts w:ascii="Arial" w:eastAsiaTheme="minorEastAsia" w:hAnsi="Arial" w:cs="Arial"/>
          <w:b/>
          <w:color w:val="3D3D3D"/>
          <w:sz w:val="22"/>
          <w:szCs w:val="22"/>
        </w:rPr>
        <w:t xml:space="preserve"> révélateur de talents </w:t>
      </w:r>
      <w:r w:rsidRPr="00D1072E">
        <w:rPr>
          <w:rFonts w:ascii="Arial" w:eastAsiaTheme="minorEastAsia" w:hAnsi="Arial" w:cs="Arial"/>
          <w:b/>
          <w:color w:val="3D3D3D"/>
          <w:sz w:val="22"/>
          <w:szCs w:val="22"/>
        </w:rPr>
        <w:t>a pour vocation de valoriser le potentiel de l’étudiant, d’améliorer le processus de recrutement et d’aider à l’insertion professionnelle</w:t>
      </w:r>
      <w:r w:rsidRPr="00D1072E">
        <w:rPr>
          <w:rFonts w:ascii="Arial" w:eastAsiaTheme="minorEastAsia" w:hAnsi="Arial" w:cs="Arial"/>
          <w:b/>
          <w:sz w:val="22"/>
          <w:szCs w:val="22"/>
        </w:rPr>
        <w:t>.</w:t>
      </w:r>
      <w:r w:rsidR="00361E4A" w:rsidRPr="00D1072E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540F50" w:rsidRPr="00D1072E">
        <w:rPr>
          <w:rFonts w:ascii="Arial" w:eastAsiaTheme="minorEastAsia" w:hAnsi="Arial" w:cs="Arial"/>
          <w:b/>
          <w:color w:val="3D3D3D"/>
          <w:sz w:val="22"/>
          <w:szCs w:val="22"/>
        </w:rPr>
        <w:t>Une révolution dans le domaine des ressources</w:t>
      </w:r>
      <w:r w:rsidR="00540F50">
        <w:rPr>
          <w:rFonts w:ascii="Arial" w:eastAsiaTheme="minorEastAsia" w:hAnsi="Arial" w:cs="Arial"/>
          <w:b/>
          <w:color w:val="3D3D3D"/>
          <w:sz w:val="22"/>
          <w:szCs w:val="22"/>
        </w:rPr>
        <w:t xml:space="preserve"> humaines </w:t>
      </w:r>
      <w:r w:rsidR="00361E4A" w:rsidRPr="00361E4A">
        <w:rPr>
          <w:rFonts w:ascii="Arial" w:eastAsiaTheme="minorEastAsia" w:hAnsi="Arial" w:cs="Arial"/>
          <w:b/>
          <w:color w:val="3D3D3D"/>
          <w:sz w:val="22"/>
          <w:szCs w:val="22"/>
        </w:rPr>
        <w:t xml:space="preserve">! </w:t>
      </w:r>
    </w:p>
    <w:p w14:paraId="321AE9FF" w14:textId="77777777" w:rsidR="00D2152D" w:rsidRDefault="00D2152D" w:rsidP="0072333A">
      <w:pPr>
        <w:ind w:left="425"/>
        <w:rPr>
          <w:rFonts w:ascii="Arial" w:hAnsi="Arial" w:cs="Arial"/>
          <w:sz w:val="32"/>
          <w:szCs w:val="32"/>
          <w:lang w:val="fr-FR"/>
        </w:rPr>
      </w:pPr>
    </w:p>
    <w:tbl>
      <w:tblPr>
        <w:tblStyle w:val="Grille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D2F7C" w:rsidRPr="0078389B" w14:paraId="2C2E9B34" w14:textId="77777777" w:rsidTr="009E57B7">
        <w:tc>
          <w:tcPr>
            <w:tcW w:w="9924" w:type="dxa"/>
          </w:tcPr>
          <w:p w14:paraId="4D8F9E8C" w14:textId="77777777" w:rsidR="00A706CB" w:rsidRDefault="00711B05" w:rsidP="00F35F58">
            <w:pPr>
              <w:pStyle w:val="NormalWeb"/>
              <w:spacing w:before="0" w:beforeAutospacing="0" w:after="0" w:afterAutospacing="0" w:line="300" w:lineRule="exact"/>
              <w:ind w:left="425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C’est à la suite d’un stage effectué à l’étranger, que </w:t>
            </w:r>
            <w:r w:rsidR="007D2F7C" w:rsidRPr="007D2F7C">
              <w:rPr>
                <w:rFonts w:ascii="Arial" w:eastAsiaTheme="minorEastAsia" w:hAnsi="Arial" w:cs="Arial"/>
                <w:sz w:val="20"/>
                <w:szCs w:val="20"/>
              </w:rPr>
              <w:t xml:space="preserve">Benjamin Guthleben, jeune entrepreneur français de 23 ans, décida de créer </w:t>
            </w:r>
            <w:proofErr w:type="spellStart"/>
            <w:r w:rsidR="007D2F7C" w:rsidRPr="007D2F7C">
              <w:rPr>
                <w:rFonts w:ascii="Arial" w:eastAsiaTheme="minorEastAsia" w:hAnsi="Arial" w:cs="Arial"/>
                <w:sz w:val="20"/>
                <w:szCs w:val="20"/>
              </w:rPr>
              <w:t>Takewinc</w:t>
            </w:r>
            <w:proofErr w:type="spellEnd"/>
            <w:r w:rsidR="007D2F7C" w:rsidRPr="007D2F7C">
              <w:rPr>
                <w:rFonts w:ascii="Arial" w:eastAsiaTheme="minorEastAsia" w:hAnsi="Arial" w:cs="Arial"/>
                <w:sz w:val="20"/>
                <w:szCs w:val="20"/>
              </w:rPr>
              <w:t xml:space="preserve"> en 2013.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580269">
              <w:rPr>
                <w:rFonts w:ascii="Arial" w:eastAsiaTheme="minorEastAsia" w:hAnsi="Arial" w:cs="Arial"/>
                <w:sz w:val="20"/>
                <w:szCs w:val="20"/>
              </w:rPr>
              <w:t>Diplômé d</w:t>
            </w:r>
            <w:r w:rsidR="009F1BB5">
              <w:rPr>
                <w:rFonts w:ascii="Arial" w:eastAsiaTheme="minorEastAsia" w:hAnsi="Arial" w:cs="Arial"/>
                <w:sz w:val="20"/>
                <w:szCs w:val="20"/>
              </w:rPr>
              <w:t xml:space="preserve">’un </w:t>
            </w:r>
            <w:proofErr w:type="spellStart"/>
            <w:r w:rsidR="009F1BB5" w:rsidRPr="009F1BB5">
              <w:rPr>
                <w:rFonts w:ascii="Arial" w:eastAsiaTheme="minorEastAsia" w:hAnsi="Arial" w:cs="Arial"/>
                <w:sz w:val="20"/>
                <w:szCs w:val="20"/>
              </w:rPr>
              <w:t>Msc</w:t>
            </w:r>
            <w:proofErr w:type="spellEnd"/>
            <w:r w:rsidR="009F1BB5" w:rsidRPr="009F1BB5">
              <w:rPr>
                <w:rFonts w:ascii="Arial" w:eastAsiaTheme="minorEastAsia" w:hAnsi="Arial" w:cs="Arial"/>
                <w:sz w:val="20"/>
                <w:szCs w:val="20"/>
              </w:rPr>
              <w:t xml:space="preserve"> Business, Innovation et Stratégie Entrepreneuriale</w:t>
            </w:r>
            <w:r w:rsidR="00657A34">
              <w:rPr>
                <w:rFonts w:ascii="Arial" w:eastAsiaTheme="minorEastAsia" w:hAnsi="Arial" w:cs="Arial"/>
                <w:sz w:val="20"/>
                <w:szCs w:val="20"/>
              </w:rPr>
              <w:t xml:space="preserve"> à Lyon</w:t>
            </w:r>
            <w:r w:rsidR="00580269">
              <w:rPr>
                <w:rFonts w:ascii="Arial" w:eastAsiaTheme="minorEastAsia" w:hAnsi="Arial" w:cs="Arial"/>
                <w:sz w:val="20"/>
                <w:szCs w:val="20"/>
              </w:rPr>
              <w:t>, il a c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omme de nombreux étudiants </w:t>
            </w:r>
            <w:r w:rsidR="00580269">
              <w:rPr>
                <w:rFonts w:ascii="Arial" w:eastAsiaTheme="minorEastAsia" w:hAnsi="Arial" w:cs="Arial"/>
                <w:sz w:val="20"/>
                <w:szCs w:val="20"/>
              </w:rPr>
              <w:t xml:space="preserve">effectué des stages et </w:t>
            </w:r>
            <w:r w:rsidR="0088093F">
              <w:rPr>
                <w:rFonts w:ascii="Arial" w:eastAsiaTheme="minorEastAsia" w:hAnsi="Arial" w:cs="Arial"/>
                <w:sz w:val="20"/>
                <w:szCs w:val="20"/>
              </w:rPr>
              <w:t xml:space="preserve">a </w:t>
            </w:r>
            <w:r w:rsidR="00580269">
              <w:rPr>
                <w:rFonts w:ascii="Arial" w:eastAsiaTheme="minorEastAsia" w:hAnsi="Arial" w:cs="Arial"/>
                <w:sz w:val="20"/>
                <w:szCs w:val="20"/>
              </w:rPr>
              <w:t xml:space="preserve">été confronté à une expérience </w:t>
            </w:r>
            <w:r w:rsidRPr="007D2F7C">
              <w:rPr>
                <w:rFonts w:ascii="Arial" w:eastAsiaTheme="minorEastAsia" w:hAnsi="Arial" w:cs="Arial"/>
                <w:sz w:val="20"/>
                <w:szCs w:val="20"/>
              </w:rPr>
              <w:t>ne lui permetta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nt</w:t>
            </w:r>
            <w:r w:rsidRPr="007D2F7C">
              <w:rPr>
                <w:rFonts w:ascii="Arial" w:eastAsiaTheme="minorEastAsia" w:hAnsi="Arial" w:cs="Arial"/>
                <w:sz w:val="20"/>
                <w:szCs w:val="20"/>
              </w:rPr>
              <w:t xml:space="preserve"> pas de valoriser ses compétences</w:t>
            </w:r>
            <w:r w:rsidR="00580269">
              <w:rPr>
                <w:rFonts w:ascii="Arial" w:eastAsiaTheme="minorEastAsia" w:hAnsi="Arial" w:cs="Arial"/>
                <w:sz w:val="20"/>
                <w:szCs w:val="20"/>
              </w:rPr>
              <w:t>. Cette période dit « d’apprentissage »</w:t>
            </w:r>
            <w:r w:rsidR="000371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permettra</w:t>
            </w:r>
            <w:r w:rsidR="000371A1">
              <w:rPr>
                <w:rFonts w:ascii="Arial" w:eastAsiaTheme="minorEastAsia" w:hAnsi="Arial" w:cs="Arial"/>
                <w:sz w:val="20"/>
                <w:szCs w:val="20"/>
              </w:rPr>
              <w:t xml:space="preserve"> à ce passionné d’entreprenariat d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’imaginer et de développer une </w:t>
            </w:r>
            <w:r w:rsidR="007D2F7C" w:rsidRPr="001A5F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innovante</w:t>
            </w:r>
            <w:r w:rsidR="007D2F7C" w:rsidRPr="001A5F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au service des étudiants stagiaires</w:t>
            </w:r>
            <w:r w:rsidR="000823E8">
              <w:rPr>
                <w:rFonts w:ascii="Arial" w:eastAsiaTheme="minorEastAsia" w:hAnsi="Arial" w:cs="Arial"/>
                <w:sz w:val="20"/>
                <w:szCs w:val="20"/>
              </w:rPr>
              <w:t xml:space="preserve">. La finalité </w:t>
            </w:r>
            <w:r w:rsidR="00A706CB">
              <w:rPr>
                <w:rFonts w:ascii="Arial" w:eastAsiaTheme="minorEastAsia" w:hAnsi="Arial" w:cs="Arial"/>
                <w:sz w:val="20"/>
                <w:szCs w:val="20"/>
              </w:rPr>
              <w:t xml:space="preserve">? </w:t>
            </w:r>
            <w:r w:rsidR="000823E8">
              <w:rPr>
                <w:rFonts w:ascii="Arial" w:eastAsiaTheme="minorEastAsia" w:hAnsi="Arial" w:cs="Arial"/>
                <w:sz w:val="20"/>
                <w:szCs w:val="20"/>
              </w:rPr>
              <w:t xml:space="preserve">Offrir un </w:t>
            </w:r>
            <w:r w:rsidR="000823E8" w:rsidRPr="001A5F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concept</w:t>
            </w:r>
            <w:r w:rsidR="00A706CB" w:rsidRPr="001A5F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qui permette d’améliorer les </w:t>
            </w:r>
            <w:r w:rsidR="007B405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relations entre étudiants et entreprise</w:t>
            </w:r>
            <w:r w:rsidR="00E76EC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="007B405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et ainsi </w:t>
            </w:r>
            <w:r w:rsidR="00F35F58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développer les </w:t>
            </w:r>
            <w:r w:rsidR="00A706CB" w:rsidRPr="001A5F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performances individuelles dans l’intérêt collectif. </w:t>
            </w:r>
          </w:p>
          <w:p w14:paraId="19C24292" w14:textId="77777777" w:rsidR="004D3896" w:rsidRDefault="004D3896" w:rsidP="000823E8">
            <w:pPr>
              <w:pStyle w:val="NormalWeb"/>
              <w:spacing w:before="0" w:beforeAutospacing="0" w:after="0" w:afterAutospacing="0" w:line="300" w:lineRule="exact"/>
              <w:ind w:left="425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4C80891F" w14:textId="77777777" w:rsidR="004D3896" w:rsidRDefault="004D3896" w:rsidP="004D3896">
            <w:pPr>
              <w:pStyle w:val="NormalWeb"/>
              <w:spacing w:before="0" w:beforeAutospacing="0" w:after="0" w:afterAutospacing="0" w:line="300" w:lineRule="exact"/>
              <w:ind w:left="425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Pour mener à bien son projet, une enquête fut réalisée auprès de 200 directeurs généraux (DG) et directeurs des ressources humaines (DRH). Les résultats sont frappants. </w:t>
            </w:r>
          </w:p>
          <w:p w14:paraId="7A1938EF" w14:textId="77777777" w:rsidR="004D3896" w:rsidRDefault="004D3896" w:rsidP="00D126E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00" w:lineRule="exac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6E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58%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D126E3">
              <w:rPr>
                <w:rFonts w:ascii="Arial" w:eastAsiaTheme="minorEastAsia" w:hAnsi="Arial" w:cs="Arial"/>
                <w:sz w:val="20"/>
                <w:szCs w:val="20"/>
              </w:rPr>
              <w:t xml:space="preserve">des DG et DRH indiquent que le recrutement d’un stagiaire est aussi important que celui d’un salarié. </w:t>
            </w:r>
          </w:p>
          <w:p w14:paraId="34AA1E63" w14:textId="77777777" w:rsidR="00D126E3" w:rsidRDefault="00D126E3" w:rsidP="00D126E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00" w:lineRule="exac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6E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75%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déclarent que les stagiaires peuvent apporter une valeur ajoutée dans l’entreprise. </w:t>
            </w:r>
          </w:p>
          <w:p w14:paraId="7D5C95A7" w14:textId="77777777" w:rsidR="00D126E3" w:rsidRDefault="00D126E3" w:rsidP="00D126E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00" w:lineRule="exac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126E3">
              <w:rPr>
                <w:rFonts w:ascii="Arial" w:eastAsiaTheme="minorEastAsia" w:hAnsi="Arial" w:cs="Arial"/>
                <w:sz w:val="20"/>
                <w:szCs w:val="20"/>
              </w:rPr>
              <w:t xml:space="preserve">Or </w:t>
            </w:r>
            <w:r w:rsidR="004D3896" w:rsidRPr="00D126E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74%</w:t>
            </w:r>
            <w:r w:rsidR="004D3896" w:rsidRPr="00D126E3">
              <w:rPr>
                <w:rFonts w:ascii="Arial" w:eastAsiaTheme="minorEastAsia" w:hAnsi="Arial" w:cs="Arial"/>
                <w:sz w:val="20"/>
                <w:szCs w:val="20"/>
              </w:rPr>
              <w:t xml:space="preserve"> des </w:t>
            </w:r>
            <w:r w:rsidRPr="00D126E3">
              <w:rPr>
                <w:rFonts w:ascii="Arial" w:eastAsiaTheme="minorEastAsia" w:hAnsi="Arial" w:cs="Arial"/>
                <w:sz w:val="20"/>
                <w:szCs w:val="20"/>
              </w:rPr>
              <w:t xml:space="preserve">entreprises </w:t>
            </w:r>
            <w:r w:rsidR="004D3896" w:rsidRPr="00D126E3">
              <w:rPr>
                <w:rFonts w:ascii="Arial" w:eastAsiaTheme="minorEastAsia" w:hAnsi="Arial" w:cs="Arial"/>
                <w:sz w:val="20"/>
                <w:szCs w:val="20"/>
              </w:rPr>
              <w:t xml:space="preserve">rencontrent des difficultés </w:t>
            </w:r>
            <w:r w:rsidRPr="00D126E3">
              <w:rPr>
                <w:rFonts w:ascii="Arial" w:eastAsiaTheme="minorEastAsia" w:hAnsi="Arial" w:cs="Arial"/>
                <w:sz w:val="20"/>
                <w:szCs w:val="20"/>
              </w:rPr>
              <w:t>à</w:t>
            </w:r>
            <w:r w:rsidR="004D3896" w:rsidRPr="00D126E3">
              <w:rPr>
                <w:rFonts w:ascii="Arial" w:eastAsiaTheme="minorEastAsia" w:hAnsi="Arial" w:cs="Arial"/>
                <w:sz w:val="20"/>
                <w:szCs w:val="20"/>
              </w:rPr>
              <w:t xml:space="preserve"> recruter des stagiaires</w:t>
            </w:r>
            <w:r w:rsidRPr="00D126E3">
              <w:rPr>
                <w:rFonts w:ascii="Arial" w:eastAsiaTheme="minorEastAsia" w:hAnsi="Arial" w:cs="Arial"/>
                <w:sz w:val="20"/>
                <w:szCs w:val="20"/>
              </w:rPr>
              <w:t xml:space="preserve"> et seulement </w:t>
            </w:r>
            <w:r w:rsidRPr="0088093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</w:t>
            </w:r>
            <w:r w:rsidR="004D3896" w:rsidRPr="00D126E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3%</w:t>
            </w:r>
            <w:r w:rsidR="004D3896" w:rsidRPr="00D126E3">
              <w:rPr>
                <w:rFonts w:ascii="Arial" w:eastAsiaTheme="minorEastAsia" w:hAnsi="Arial" w:cs="Arial"/>
                <w:sz w:val="20"/>
                <w:szCs w:val="20"/>
              </w:rPr>
              <w:t xml:space="preserve"> se disent « satisfaits » de leurs recrues. </w:t>
            </w:r>
          </w:p>
          <w:p w14:paraId="63E611C4" w14:textId="77777777" w:rsidR="00D126E3" w:rsidRDefault="004D3896" w:rsidP="000464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00" w:lineRule="exac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88093F">
              <w:rPr>
                <w:rFonts w:ascii="Arial" w:eastAsiaTheme="minorEastAsia" w:hAnsi="Arial" w:cs="Arial"/>
                <w:sz w:val="20"/>
                <w:szCs w:val="20"/>
              </w:rPr>
              <w:t xml:space="preserve">De l’autre côté, </w:t>
            </w:r>
            <w:r w:rsidR="00D126E3" w:rsidRPr="0088093F">
              <w:rPr>
                <w:rFonts w:ascii="Arial" w:eastAsiaTheme="minorEastAsia" w:hAnsi="Arial" w:cs="Arial"/>
                <w:sz w:val="20"/>
                <w:szCs w:val="20"/>
              </w:rPr>
              <w:t xml:space="preserve">c’est </w:t>
            </w:r>
            <w:r w:rsidRPr="0088093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45%</w:t>
            </w:r>
            <w:r w:rsidRPr="0088093F">
              <w:rPr>
                <w:rFonts w:ascii="Arial" w:eastAsiaTheme="minorEastAsia" w:hAnsi="Arial" w:cs="Arial"/>
                <w:sz w:val="20"/>
                <w:szCs w:val="20"/>
              </w:rPr>
              <w:t xml:space="preserve"> des étudiants </w:t>
            </w:r>
            <w:r w:rsidR="0088093F" w:rsidRPr="0088093F">
              <w:rPr>
                <w:rFonts w:ascii="Arial" w:eastAsiaTheme="minorEastAsia" w:hAnsi="Arial" w:cs="Arial"/>
                <w:sz w:val="20"/>
                <w:szCs w:val="20"/>
              </w:rPr>
              <w:t xml:space="preserve">qui </w:t>
            </w:r>
            <w:r w:rsidRPr="0088093F">
              <w:rPr>
                <w:rFonts w:ascii="Arial" w:eastAsiaTheme="minorEastAsia" w:hAnsi="Arial" w:cs="Arial"/>
                <w:sz w:val="20"/>
                <w:szCs w:val="20"/>
              </w:rPr>
              <w:t xml:space="preserve">se disent insatisfaits de leur période de stage. </w:t>
            </w:r>
          </w:p>
          <w:p w14:paraId="0C446DD7" w14:textId="77777777" w:rsidR="0088093F" w:rsidRPr="0088093F" w:rsidRDefault="0088093F" w:rsidP="0088093F">
            <w:pPr>
              <w:pStyle w:val="NormalWeb"/>
              <w:spacing w:before="0" w:beforeAutospacing="0" w:after="0" w:afterAutospacing="0" w:line="300" w:lineRule="exact"/>
              <w:ind w:left="1145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8367838" w14:textId="76A213CF" w:rsidR="000527AA" w:rsidRDefault="00A3353C" w:rsidP="0088093F">
            <w:pPr>
              <w:pStyle w:val="NormalWeb"/>
              <w:spacing w:before="0" w:beforeAutospacing="0" w:after="0" w:afterAutospacing="0" w:line="300" w:lineRule="exact"/>
              <w:ind w:left="425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Aujourd’hui constitué d’une équipe de</w:t>
            </w:r>
            <w:r w:rsidR="0004646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4 p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ersonnes, </w:t>
            </w:r>
            <w:proofErr w:type="spellStart"/>
            <w:r w:rsidR="00E76EC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Takewinc</w:t>
            </w:r>
            <w:proofErr w:type="spellEnd"/>
            <w:r w:rsidR="00E76EC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ambition</w:t>
            </w:r>
            <w:r w:rsidR="00AC79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ne</w:t>
            </w:r>
            <w:r w:rsidR="0078098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donc</w:t>
            </w:r>
            <w:r w:rsidR="00AC79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E76EC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de</w:t>
            </w:r>
            <w:r w:rsidR="0078098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faire évoluer</w:t>
            </w:r>
            <w:r w:rsidR="00E76EC4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78098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</w:t>
            </w:r>
            <w:r w:rsidR="00AC79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es</w:t>
            </w:r>
            <w:r w:rsidR="0078098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AC79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expériences peu satisfaisantes</w:t>
            </w:r>
            <w:r w:rsidR="0078098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de chacun des protagonistes</w:t>
            </w:r>
            <w:r w:rsidR="00AC79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88093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via son </w:t>
            </w:r>
            <w:r w:rsidR="00AC79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</w:t>
            </w:r>
            <w:r w:rsidR="004D3896" w:rsidRPr="00D126E3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pproche </w:t>
            </w:r>
            <w:r w:rsidR="00AC79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novatrice</w:t>
            </w:r>
            <w:r w:rsidR="0078098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basées sur la compatibilité professionnelle.</w:t>
            </w:r>
            <w:r w:rsidR="0006628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CAECF24" w14:textId="77777777" w:rsidR="000527AA" w:rsidRDefault="000527AA" w:rsidP="001A5FF5">
            <w:pPr>
              <w:pStyle w:val="NormalWeb"/>
              <w:spacing w:before="0" w:beforeAutospacing="0" w:after="0" w:afterAutospacing="0" w:line="300" w:lineRule="exact"/>
              <w:ind w:left="425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794D66E6" w14:textId="77777777" w:rsidR="00140464" w:rsidRDefault="000527AA" w:rsidP="001A5FF5">
            <w:pPr>
              <w:pStyle w:val="NormalWeb"/>
              <w:spacing w:before="0" w:beforeAutospacing="0" w:after="0" w:afterAutospacing="0" w:line="300" w:lineRule="exact"/>
              <w:ind w:left="425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Parmi les fonctionnalités,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Takewinc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740B31">
              <w:rPr>
                <w:rFonts w:ascii="Arial" w:eastAsiaTheme="minorEastAsia" w:hAnsi="Arial" w:cs="Arial"/>
                <w:b/>
                <w:sz w:val="20"/>
                <w:szCs w:val="20"/>
              </w:rPr>
              <w:t>permet de mesurer la personnalité des étudiants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pour assurer un </w:t>
            </w:r>
            <w:r w:rsidRPr="00046464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taux de compatibilité optimale entre chaque offre </w:t>
            </w:r>
            <w:r w:rsidR="0088093F" w:rsidRPr="00046464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de stage </w:t>
            </w:r>
            <w:r w:rsidRPr="00046464">
              <w:rPr>
                <w:rFonts w:ascii="Arial" w:eastAsiaTheme="minorEastAsia" w:hAnsi="Arial" w:cs="Arial"/>
                <w:b/>
                <w:sz w:val="20"/>
                <w:szCs w:val="20"/>
              </w:rPr>
              <w:t>et chaque étudiant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 Pour ce faire, la</w:t>
            </w:r>
            <w:r w:rsidR="007D2F7C" w:rsidRPr="007D2F7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7D2F7C" w:rsidRPr="001A5F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start-up</w:t>
            </w:r>
            <w:r w:rsidR="007D2F7C" w:rsidRPr="007D2F7C">
              <w:rPr>
                <w:rFonts w:ascii="Arial" w:eastAsiaTheme="minorEastAsia" w:hAnsi="Arial" w:cs="Arial"/>
                <w:sz w:val="20"/>
                <w:szCs w:val="20"/>
              </w:rPr>
              <w:t xml:space="preserve"> à l’ambition débordante s’appuie sur </w:t>
            </w:r>
            <w:r w:rsidR="007D2F7C" w:rsidRPr="001A5F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l’expertise de TTI </w:t>
            </w:r>
            <w:proofErr w:type="spellStart"/>
            <w:r w:rsidR="007D2F7C" w:rsidRPr="001A5F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Success</w:t>
            </w:r>
            <w:proofErr w:type="spellEnd"/>
            <w:r w:rsidR="007D2F7C" w:rsidRPr="001A5FF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Insights</w:t>
            </w:r>
            <w:r w:rsidR="00912FC6">
              <w:rPr>
                <w:rFonts w:ascii="Arial" w:eastAsiaTheme="minorEastAsia" w:hAnsi="Arial" w:cs="Arial"/>
                <w:sz w:val="20"/>
                <w:szCs w:val="20"/>
              </w:rPr>
              <w:t>, leader mondial en évaluation RH</w:t>
            </w:r>
            <w:r w:rsidR="007C3150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="00AE77B4">
              <w:rPr>
                <w:rFonts w:ascii="Arial" w:eastAsiaTheme="minorEastAsia" w:hAnsi="Arial" w:cs="Arial"/>
                <w:sz w:val="20"/>
                <w:szCs w:val="20"/>
              </w:rPr>
              <w:t>pour évaluer le comportement et les facteurs de motivations de l’étudiant</w:t>
            </w:r>
            <w:r w:rsidR="00140464">
              <w:rPr>
                <w:rFonts w:ascii="Arial" w:eastAsiaTheme="minorEastAsia" w:hAnsi="Arial" w:cs="Arial"/>
                <w:sz w:val="20"/>
                <w:szCs w:val="20"/>
              </w:rPr>
              <w:t xml:space="preserve">, via un </w:t>
            </w:r>
            <w:r w:rsidR="00140464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questionnaire</w:t>
            </w:r>
            <w:r w:rsidR="001A5FF5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="00314D9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140464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140464" w:rsidRPr="007C3150">
              <w:rPr>
                <w:rFonts w:ascii="Arial" w:hAnsi="Arial" w:cs="Arial"/>
                <w:sz w:val="20"/>
                <w:szCs w:val="20"/>
              </w:rPr>
              <w:t xml:space="preserve">algorithme </w:t>
            </w:r>
            <w:r w:rsidR="00140464">
              <w:rPr>
                <w:rFonts w:ascii="Arial" w:hAnsi="Arial" w:cs="Arial"/>
                <w:sz w:val="20"/>
                <w:szCs w:val="20"/>
              </w:rPr>
              <w:t xml:space="preserve">puissant et breveté, </w:t>
            </w:r>
            <w:r w:rsidR="00140464" w:rsidRPr="007C3150">
              <w:rPr>
                <w:rFonts w:ascii="Arial" w:hAnsi="Arial" w:cs="Arial"/>
                <w:sz w:val="20"/>
                <w:szCs w:val="20"/>
              </w:rPr>
              <w:t xml:space="preserve">établi ensuite </w:t>
            </w:r>
            <w:r w:rsidR="00140464" w:rsidRPr="00046464">
              <w:rPr>
                <w:rFonts w:ascii="Arial" w:hAnsi="Arial" w:cs="Arial"/>
                <w:b/>
                <w:sz w:val="20"/>
                <w:szCs w:val="20"/>
              </w:rPr>
              <w:t>la compatibilité du candidat avec le profil de poste, la mission et les valeurs de l’entreprise</w:t>
            </w:r>
            <w:r w:rsidR="00140464" w:rsidRPr="007C315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971890E" w14:textId="77777777" w:rsidR="00812822" w:rsidRDefault="00812822" w:rsidP="00812822">
            <w:pPr>
              <w:spacing w:line="300" w:lineRule="exact"/>
              <w:ind w:left="425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03A3AF89" w14:textId="77777777" w:rsidR="000527AA" w:rsidRDefault="000527AA" w:rsidP="000547CE">
            <w:pPr>
              <w:pStyle w:val="NormalWeb"/>
              <w:spacing w:before="0" w:beforeAutospacing="0" w:after="0" w:afterAutospacing="0" w:line="300" w:lineRule="exact"/>
              <w:ind w:left="425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D2F7C">
              <w:rPr>
                <w:rFonts w:ascii="Arial" w:hAnsi="Arial" w:cs="Arial"/>
                <w:b/>
                <w:sz w:val="20"/>
                <w:szCs w:val="20"/>
              </w:rPr>
              <w:t>Benjamin Guthleben</w:t>
            </w:r>
            <w:r w:rsidRPr="007D2F7C">
              <w:rPr>
                <w:rFonts w:ascii="Arial" w:hAnsi="Arial" w:cs="Arial"/>
                <w:sz w:val="20"/>
                <w:szCs w:val="20"/>
              </w:rPr>
              <w:t xml:space="preserve">, fondateur et CEO de </w:t>
            </w:r>
            <w:proofErr w:type="spellStart"/>
            <w:r w:rsidRPr="007D2F7C">
              <w:rPr>
                <w:rFonts w:ascii="Arial" w:hAnsi="Arial" w:cs="Arial"/>
                <w:sz w:val="20"/>
                <w:szCs w:val="20"/>
              </w:rPr>
              <w:t>Takewinc</w:t>
            </w:r>
            <w:proofErr w:type="spellEnd"/>
            <w:r w:rsidRPr="007D2F7C">
              <w:rPr>
                <w:rFonts w:ascii="Arial" w:hAnsi="Arial" w:cs="Arial"/>
                <w:sz w:val="20"/>
                <w:szCs w:val="20"/>
              </w:rPr>
              <w:t xml:space="preserve"> déclare : « </w:t>
            </w:r>
            <w:r w:rsidRPr="007D2F7C">
              <w:rPr>
                <w:rFonts w:ascii="Arial" w:hAnsi="Arial" w:cs="Arial"/>
                <w:i/>
                <w:iCs/>
                <w:sz w:val="20"/>
                <w:szCs w:val="20"/>
              </w:rPr>
              <w:t>Notre réseau social entend devenir un outil unique pour permettre aux étudiants de développer leur potentiel et construire leur projet professionnel. Nous les accompagnons tout au long de leurs études : nous leurs donnons accès à des stages pour lesquels ils sont compatibles, nous évaluons leur impact dans l’entreprise, qualifions et donnons accès à leur profil à des centaines de recruteurs. A travers cette solution, nous voulons participer à l’amélioration du taux d’insertion professionnelle des jeunes ».</w:t>
            </w:r>
          </w:p>
          <w:p w14:paraId="3991DF41" w14:textId="77777777" w:rsidR="000527AA" w:rsidRPr="0088093F" w:rsidRDefault="000527AA" w:rsidP="000527AA">
            <w:pPr>
              <w:spacing w:line="300" w:lineRule="exact"/>
              <w:ind w:left="42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D2F7C" w:rsidRPr="0078389B" w14:paraId="40C4BF89" w14:textId="77777777" w:rsidTr="009E57B7">
        <w:tc>
          <w:tcPr>
            <w:tcW w:w="9924" w:type="dxa"/>
          </w:tcPr>
          <w:p w14:paraId="1304E486" w14:textId="77777777" w:rsidR="000527AA" w:rsidRDefault="000527AA" w:rsidP="000527AA">
            <w:pPr>
              <w:pStyle w:val="NormalWeb"/>
              <w:spacing w:before="0" w:beforeAutospacing="0" w:after="0" w:afterAutospacing="0" w:line="300" w:lineRule="exact"/>
              <w:ind w:left="425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Quant à l’entreprise, celle-ci à la possibilité de </w:t>
            </w:r>
            <w:r w:rsidRPr="00740B31">
              <w:rPr>
                <w:rFonts w:ascii="Arial" w:eastAsiaTheme="minorEastAsia" w:hAnsi="Arial" w:cs="Arial"/>
                <w:b/>
                <w:sz w:val="20"/>
                <w:szCs w:val="20"/>
              </w:rPr>
              <w:t>poster une offre en y affectant des objectifs précis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que l’étudiant doit remplir durant sa période de stage, et sur lesquels il est évalué à l’issue.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Takewinc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648B">
              <w:rPr>
                <w:rFonts w:ascii="Arial" w:hAnsi="Arial" w:cs="Arial"/>
                <w:b/>
                <w:bCs/>
                <w:sz w:val="20"/>
                <w:szCs w:val="20"/>
              </w:rPr>
              <w:t>détecte et donne</w:t>
            </w:r>
            <w:r>
              <w:rPr>
                <w:rFonts w:ascii="Arial" w:hAnsi="Arial" w:cs="Arial"/>
                <w:sz w:val="20"/>
                <w:szCs w:val="20"/>
              </w:rPr>
              <w:t xml:space="preserve"> ainsi accès à une base de données de candidats</w:t>
            </w:r>
            <w:r w:rsidR="00794B0B">
              <w:rPr>
                <w:rFonts w:ascii="Arial" w:hAnsi="Arial" w:cs="Arial"/>
                <w:sz w:val="20"/>
                <w:szCs w:val="20"/>
              </w:rPr>
              <w:t xml:space="preserve"> pour lesquels</w:t>
            </w:r>
            <w:r>
              <w:rPr>
                <w:rFonts w:ascii="Arial" w:hAnsi="Arial" w:cs="Arial"/>
                <w:sz w:val="20"/>
                <w:szCs w:val="20"/>
              </w:rPr>
              <w:t xml:space="preserve"> il est même possible d’évaluer le</w:t>
            </w:r>
            <w:r w:rsidR="00794B0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 et potentiel</w:t>
            </w:r>
            <w:r w:rsidR="00794B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BF98DC" w14:textId="77777777" w:rsidR="000527AA" w:rsidRDefault="000527AA" w:rsidP="000527AA">
            <w:pPr>
              <w:pStyle w:val="NormalWeb"/>
              <w:spacing w:before="0" w:beforeAutospacing="0" w:after="0" w:afterAutospacing="0" w:line="300" w:lineRule="exact"/>
              <w:ind w:left="425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A5801E4" w14:textId="77777777" w:rsidR="007C3150" w:rsidRDefault="000527AA" w:rsidP="000527AA">
            <w:pPr>
              <w:pStyle w:val="NormalWeb"/>
              <w:spacing w:before="0" w:beforeAutospacing="0" w:after="0" w:afterAutospacing="0" w:line="300" w:lineRule="exact"/>
              <w:ind w:left="42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2F7C">
              <w:rPr>
                <w:rFonts w:ascii="Arial" w:hAnsi="Arial" w:cs="Arial"/>
                <w:b/>
                <w:bCs/>
                <w:sz w:val="20"/>
                <w:szCs w:val="20"/>
              </w:rPr>
              <w:t>Benjamin Guthleben</w:t>
            </w:r>
            <w:r w:rsidRPr="007D2F7C">
              <w:rPr>
                <w:rFonts w:ascii="Arial" w:hAnsi="Arial" w:cs="Arial"/>
                <w:sz w:val="20"/>
                <w:szCs w:val="20"/>
              </w:rPr>
              <w:t xml:space="preserve">, fondateur et CEO de </w:t>
            </w:r>
            <w:proofErr w:type="spellStart"/>
            <w:r w:rsidRPr="007D2F7C">
              <w:rPr>
                <w:rFonts w:ascii="Arial" w:hAnsi="Arial" w:cs="Arial"/>
                <w:sz w:val="20"/>
                <w:szCs w:val="20"/>
              </w:rPr>
              <w:t>Takewinc</w:t>
            </w:r>
            <w:proofErr w:type="spellEnd"/>
            <w:r w:rsidRPr="007D2F7C">
              <w:rPr>
                <w:rFonts w:ascii="Arial" w:hAnsi="Arial" w:cs="Arial"/>
                <w:sz w:val="20"/>
                <w:szCs w:val="20"/>
              </w:rPr>
              <w:t xml:space="preserve"> déclare : </w:t>
            </w:r>
            <w:r w:rsidRPr="007D2F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« Si une entreprise recrute sur des compétences, elle a plutôt tendance à baser ses critiques sur la personnalité du collaborateur. Nous allons permettre aux entreprises de trouver le bon candidat pour le bon poste.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Nous </w:t>
            </w:r>
            <w:r w:rsidRPr="007D2F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donnons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aux entreprises </w:t>
            </w:r>
            <w:r w:rsidRPr="007D2F7C">
              <w:rPr>
                <w:rFonts w:ascii="Arial" w:hAnsi="Arial" w:cs="Arial"/>
                <w:i/>
                <w:iCs/>
                <w:sz w:val="20"/>
                <w:szCs w:val="20"/>
              </w:rPr>
              <w:t>accès à des étudiants qualifiés qui seront en confort dans leurs missions. Nous permettons, 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 amont, de mieux sélectionner l</w:t>
            </w:r>
            <w:r w:rsidRPr="007D2F7C">
              <w:rPr>
                <w:rFonts w:ascii="Arial" w:hAnsi="Arial" w:cs="Arial"/>
                <w:i/>
                <w:iCs/>
                <w:sz w:val="20"/>
                <w:szCs w:val="20"/>
              </w:rPr>
              <w:t>es stagiaires pour faciliter leur intégration et augmenter leur efficacité en entreprise. »</w:t>
            </w:r>
          </w:p>
          <w:p w14:paraId="1D4D7D18" w14:textId="77777777" w:rsidR="000527AA" w:rsidRPr="007D2F7C" w:rsidRDefault="000527AA" w:rsidP="000527AA">
            <w:pPr>
              <w:pStyle w:val="NormalWeb"/>
              <w:spacing w:before="0" w:beforeAutospacing="0" w:after="0" w:afterAutospacing="0" w:line="300" w:lineRule="exact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F7C" w:rsidRPr="0078389B" w14:paraId="064FD00C" w14:textId="77777777" w:rsidTr="009E57B7">
        <w:tc>
          <w:tcPr>
            <w:tcW w:w="9924" w:type="dxa"/>
          </w:tcPr>
          <w:p w14:paraId="56F4BEFD" w14:textId="079DCE73" w:rsidR="000527AA" w:rsidRPr="007D2F7C" w:rsidRDefault="000527AA" w:rsidP="00046464">
            <w:pPr>
              <w:spacing w:line="300" w:lineRule="exact"/>
              <w:ind w:left="425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2F7C">
              <w:rPr>
                <w:rFonts w:ascii="Arial" w:hAnsi="Arial" w:cs="Arial"/>
                <w:sz w:val="20"/>
                <w:szCs w:val="20"/>
                <w:lang w:val="fr-FR"/>
              </w:rPr>
              <w:t xml:space="preserve">Aujourd’hui, </w:t>
            </w:r>
            <w:proofErr w:type="spellStart"/>
            <w:r w:rsidRPr="007D2F7C">
              <w:rPr>
                <w:rFonts w:ascii="Arial" w:hAnsi="Arial" w:cs="Arial"/>
                <w:sz w:val="20"/>
                <w:szCs w:val="20"/>
                <w:lang w:val="fr-FR"/>
              </w:rPr>
              <w:t>Takewinc</w:t>
            </w:r>
            <w:proofErr w:type="spellEnd"/>
            <w:r w:rsidRPr="007D2F7C">
              <w:rPr>
                <w:rFonts w:ascii="Arial" w:hAnsi="Arial" w:cs="Arial"/>
                <w:sz w:val="20"/>
                <w:szCs w:val="20"/>
                <w:lang w:val="fr-FR"/>
              </w:rPr>
              <w:t xml:space="preserve"> est le réseau social le plus abouti pour cette mission qu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’est le recrutement de stagiaire. Son </w:t>
            </w:r>
            <w:r w:rsidRPr="007D2F7C">
              <w:rPr>
                <w:rFonts w:ascii="Arial" w:hAnsi="Arial" w:cs="Arial"/>
                <w:sz w:val="20"/>
                <w:szCs w:val="20"/>
                <w:lang w:val="fr-FR"/>
              </w:rPr>
              <w:t>approche qualitative va bien au-del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à de l’analyse du CV classique puisqu’elle répond aux problématiques fondamentales : détecter, recruter et retenir les talents. </w:t>
            </w:r>
            <w:r w:rsidR="00794B0B">
              <w:rPr>
                <w:rFonts w:ascii="Arial" w:hAnsi="Arial" w:cs="Arial"/>
                <w:sz w:val="20"/>
                <w:szCs w:val="20"/>
                <w:lang w:val="fr-FR"/>
              </w:rPr>
              <w:t xml:space="preserve">A terme, l’arrivée de </w:t>
            </w:r>
            <w:proofErr w:type="spellStart"/>
            <w:r w:rsidR="00794B0B">
              <w:rPr>
                <w:rFonts w:ascii="Arial" w:hAnsi="Arial" w:cs="Arial"/>
                <w:sz w:val="20"/>
                <w:szCs w:val="20"/>
                <w:lang w:val="fr-FR"/>
              </w:rPr>
              <w:t>Takewinc</w:t>
            </w:r>
            <w:proofErr w:type="spellEnd"/>
            <w:r w:rsidR="00794B0B">
              <w:rPr>
                <w:rFonts w:ascii="Arial" w:hAnsi="Arial" w:cs="Arial"/>
                <w:sz w:val="20"/>
                <w:szCs w:val="20"/>
                <w:lang w:val="fr-FR"/>
              </w:rPr>
              <w:t xml:space="preserve"> va modifier la place de la gestion des talents en entreprise</w:t>
            </w:r>
            <w:r w:rsidR="00046464">
              <w:rPr>
                <w:rFonts w:ascii="Arial" w:hAnsi="Arial" w:cs="Arial"/>
                <w:sz w:val="20"/>
                <w:szCs w:val="20"/>
                <w:lang w:val="fr-FR"/>
              </w:rPr>
              <w:t xml:space="preserve">. D’après une étude menée par </w:t>
            </w:r>
            <w:proofErr w:type="spellStart"/>
            <w:r w:rsidR="00046464">
              <w:rPr>
                <w:rFonts w:ascii="Arial" w:hAnsi="Arial" w:cs="Arial"/>
                <w:sz w:val="20"/>
                <w:szCs w:val="20"/>
                <w:lang w:val="fr-FR"/>
              </w:rPr>
              <w:t>TakewInc</w:t>
            </w:r>
            <w:proofErr w:type="spellEnd"/>
            <w:r w:rsidR="0004646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CA54F1">
              <w:rPr>
                <w:rFonts w:ascii="Arial" w:hAnsi="Arial" w:cs="Arial"/>
                <w:sz w:val="20"/>
                <w:szCs w:val="20"/>
                <w:lang w:val="fr-FR"/>
              </w:rPr>
              <w:t>53% des entreprises déclarent vouloir recruter plus de stagiaires</w:t>
            </w:r>
            <w:r w:rsidR="00794B0B">
              <w:rPr>
                <w:rFonts w:ascii="Arial" w:hAnsi="Arial" w:cs="Arial"/>
                <w:sz w:val="20"/>
                <w:szCs w:val="20"/>
                <w:lang w:val="fr-FR"/>
              </w:rPr>
              <w:t>. Les relations entre les étudiants et entreprises sont renforcées et les opportunités sont plus grandes. </w:t>
            </w:r>
          </w:p>
        </w:tc>
      </w:tr>
      <w:tr w:rsidR="007D2F7C" w:rsidRPr="0078389B" w14:paraId="6F70AFE5" w14:textId="77777777" w:rsidTr="009E57B7">
        <w:tc>
          <w:tcPr>
            <w:tcW w:w="9924" w:type="dxa"/>
          </w:tcPr>
          <w:p w14:paraId="3EED118F" w14:textId="77777777" w:rsidR="00EC707B" w:rsidRDefault="00EC707B" w:rsidP="00045E33">
            <w:pPr>
              <w:spacing w:line="300" w:lineRule="exact"/>
              <w:ind w:left="42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7C77371" w14:textId="057D1267" w:rsidR="00EC707B" w:rsidRPr="005F587A" w:rsidRDefault="00EC707B" w:rsidP="0078389B">
            <w:pPr>
              <w:spacing w:line="300" w:lineRule="exact"/>
              <w:ind w:left="425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fr-FR"/>
              </w:rPr>
            </w:pPr>
            <w:r w:rsidRPr="005F587A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Ren</w:t>
            </w:r>
            <w:r w:rsidR="0078389B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dez-vous le 25 novembre pour la nouvelle version de </w:t>
            </w:r>
            <w:proofErr w:type="spellStart"/>
            <w:r w:rsidR="0078389B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Takewinc</w:t>
            </w:r>
            <w:proofErr w:type="spellEnd"/>
            <w:r w:rsidR="0078389B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r w:rsidRPr="005F587A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lors du salon HR </w:t>
            </w:r>
            <w:proofErr w:type="spellStart"/>
            <w:r w:rsidRPr="005F587A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>Speaks</w:t>
            </w:r>
            <w:proofErr w:type="spellEnd"/>
            <w:r w:rsidRPr="005F587A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</w:p>
          <w:p w14:paraId="29A47D62" w14:textId="77777777" w:rsidR="00045E33" w:rsidRPr="00EC707B" w:rsidRDefault="00EC707B" w:rsidP="00EC707B">
            <w:pPr>
              <w:spacing w:line="300" w:lineRule="exact"/>
              <w:ind w:left="42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587A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ou sur </w:t>
            </w:r>
            <w:r w:rsidR="00045E33" w:rsidRPr="005F587A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hyperlink r:id="rId10" w:history="1">
              <w:r w:rsidR="00045E33" w:rsidRPr="00EC707B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lang w:val="fr-FR"/>
                </w:rPr>
                <w:t>www.takewinc.com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> !</w:t>
            </w:r>
          </w:p>
          <w:p w14:paraId="266AEF72" w14:textId="77777777" w:rsidR="0066648B" w:rsidRPr="007D2F7C" w:rsidRDefault="0066648B" w:rsidP="00045E33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D2F7C" w:rsidRPr="0078389B" w14:paraId="1A03CF4F" w14:textId="77777777" w:rsidTr="009E57B7">
        <w:tc>
          <w:tcPr>
            <w:tcW w:w="9924" w:type="dxa"/>
          </w:tcPr>
          <w:p w14:paraId="5118C8F8" w14:textId="77777777" w:rsidR="00EC707B" w:rsidRDefault="00EC707B" w:rsidP="0029660A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</w:pPr>
          </w:p>
          <w:p w14:paraId="3EE2B7C6" w14:textId="77777777" w:rsidR="00484A2E" w:rsidRPr="0029660A" w:rsidRDefault="00484A2E" w:rsidP="0029660A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</w:pPr>
            <w:r w:rsidRPr="0029660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  <w:t xml:space="preserve">A propos </w:t>
            </w:r>
            <w:proofErr w:type="spellStart"/>
            <w:r w:rsidRPr="0029660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  <w:t>Takewinc</w:t>
            </w:r>
            <w:proofErr w:type="spellEnd"/>
            <w:r w:rsidRPr="0029660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  <w:t xml:space="preserve"> :  </w:t>
            </w:r>
          </w:p>
          <w:p w14:paraId="1AB0ED11" w14:textId="77777777" w:rsidR="00873D6C" w:rsidRPr="00873D6C" w:rsidRDefault="00873D6C" w:rsidP="009E57B7">
            <w:pPr>
              <w:pStyle w:val="NormalWeb"/>
              <w:tabs>
                <w:tab w:val="left" w:pos="284"/>
              </w:tabs>
              <w:spacing w:before="0" w:beforeAutospacing="0" w:after="0" w:afterAutospacing="0" w:line="300" w:lineRule="exact"/>
              <w:jc w:val="both"/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</w:pPr>
            <w:proofErr w:type="spellStart"/>
            <w:r w:rsidRPr="00873D6C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>Takewinc</w:t>
            </w:r>
            <w:proofErr w:type="spellEnd"/>
            <w:r w:rsidRPr="00873D6C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 xml:space="preserve"> est le premier réseau social de mise en relation dédié au recrutement des futurs stagiaires. Lancée en 2013, cette start-up a pour vocation de valoriser le potentiel de l’étudiant, d’améliorer le processus de recrutement et d’aider à l’insertion professionnelle.</w:t>
            </w:r>
          </w:p>
          <w:p w14:paraId="10835941" w14:textId="77777777" w:rsidR="00484A2E" w:rsidRPr="00484A2E" w:rsidRDefault="00873D6C" w:rsidP="009E57B7">
            <w:pPr>
              <w:pStyle w:val="NormalWeb"/>
              <w:tabs>
                <w:tab w:val="left" w:pos="284"/>
              </w:tabs>
              <w:spacing w:before="0" w:beforeAutospacing="0" w:after="0" w:afterAutospacing="0"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3D6C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 xml:space="preserve">La solution </w:t>
            </w:r>
            <w:proofErr w:type="spellStart"/>
            <w:r w:rsidRPr="00873D6C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>Takewinc</w:t>
            </w:r>
            <w:proofErr w:type="spellEnd"/>
            <w:r w:rsidRPr="00873D6C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 xml:space="preserve"> s’appuie sur l’expertise de TTI </w:t>
            </w:r>
            <w:proofErr w:type="spellStart"/>
            <w:r w:rsidRPr="00873D6C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>Success</w:t>
            </w:r>
            <w:proofErr w:type="spellEnd"/>
            <w:r w:rsidRPr="00873D6C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 xml:space="preserve"> Insights afin d’établir la personnalité et les compétences d’un candidat pour mesurer la compatibilité d’un étudiant avec la culture et les valeurs d’une entreprise, les besoins d’un poste. </w:t>
            </w:r>
            <w:proofErr w:type="spellStart"/>
            <w:r w:rsidRPr="00873D6C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>Takewinc</w:t>
            </w:r>
            <w:proofErr w:type="spellEnd"/>
            <w:r w:rsidRPr="00873D6C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 xml:space="preserve"> a déjà signé un partenariat avec 6 grandes écoles de commerce et est présente sur près de 9 campus. </w:t>
            </w:r>
            <w:proofErr w:type="spellStart"/>
            <w:r w:rsidRPr="00873D6C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>Takewinc</w:t>
            </w:r>
            <w:proofErr w:type="spellEnd"/>
            <w:r w:rsidRPr="00873D6C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 xml:space="preserve"> est la seule start-up à se positionner comme l’interlocuteur de référence entre le monde éduca</w:t>
            </w:r>
            <w:r w:rsidR="00EC5CE2">
              <w:rPr>
                <w:rFonts w:ascii="Arial" w:eastAsiaTheme="minorEastAsia" w:hAnsi="Arial" w:cs="Arial"/>
                <w:sz w:val="16"/>
                <w:szCs w:val="16"/>
                <w:lang w:eastAsia="fr-FR"/>
              </w:rPr>
              <w:t>tif et le monde professionnel.</w:t>
            </w:r>
          </w:p>
        </w:tc>
      </w:tr>
    </w:tbl>
    <w:p w14:paraId="1F34C21F" w14:textId="77777777" w:rsidR="001A5FF5" w:rsidRPr="007D2F7C" w:rsidRDefault="001A5FF5">
      <w:pPr>
        <w:spacing w:line="300" w:lineRule="exact"/>
        <w:ind w:left="425"/>
        <w:rPr>
          <w:rFonts w:ascii="Arial" w:hAnsi="Arial" w:cs="Arial"/>
          <w:sz w:val="20"/>
          <w:szCs w:val="20"/>
          <w:lang w:val="fr-FR"/>
        </w:rPr>
      </w:pPr>
    </w:p>
    <w:sectPr w:rsidR="001A5FF5" w:rsidRPr="007D2F7C" w:rsidSect="00D05F04">
      <w:headerReference w:type="default" r:id="rId11"/>
      <w:footerReference w:type="default" r:id="rId12"/>
      <w:pgSz w:w="11900" w:h="16840"/>
      <w:pgMar w:top="817" w:right="843" w:bottom="1417" w:left="1417" w:header="709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585F7B" w15:done="0"/>
  <w15:commentEx w15:paraId="0F53C934" w15:done="0"/>
  <w15:commentEx w15:paraId="1C5A94D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FA898" w14:textId="77777777" w:rsidR="00046464" w:rsidRDefault="00046464" w:rsidP="00D2152D">
      <w:r>
        <w:separator/>
      </w:r>
    </w:p>
  </w:endnote>
  <w:endnote w:type="continuationSeparator" w:id="0">
    <w:p w14:paraId="0C6E4DA9" w14:textId="77777777" w:rsidR="00046464" w:rsidRDefault="00046464" w:rsidP="00D2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2BE7" w14:textId="77777777" w:rsidR="00046464" w:rsidRDefault="00046464">
    <w:pPr>
      <w:pStyle w:val="Pieddepage"/>
    </w:pPr>
    <w:r w:rsidRPr="00D2152D">
      <w:rPr>
        <w:rFonts w:ascii="Arial" w:hAnsi="Arial" w:cs="Arial"/>
        <w:noProof/>
        <w:sz w:val="36"/>
        <w:szCs w:val="36"/>
        <w:lang w:val="fr-FR"/>
      </w:rPr>
      <w:drawing>
        <wp:anchor distT="0" distB="0" distL="114300" distR="114300" simplePos="0" relativeHeight="251659264" behindDoc="0" locked="0" layoutInCell="1" allowOverlap="1" wp14:anchorId="68811096" wp14:editId="3A6626E1">
          <wp:simplePos x="0" y="0"/>
          <wp:positionH relativeFrom="page">
            <wp:align>left</wp:align>
          </wp:positionH>
          <wp:positionV relativeFrom="paragraph">
            <wp:posOffset>-124460</wp:posOffset>
          </wp:positionV>
          <wp:extent cx="1522095" cy="1028700"/>
          <wp:effectExtent l="0" t="0" r="0" b="0"/>
          <wp:wrapNone/>
          <wp:docPr id="2" name="Image 2" descr="Macintosh HD:Users:bguthleben:Desktop:pied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guthleben:Desktop:pied 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E0A04" w14:textId="77777777" w:rsidR="00046464" w:rsidRPr="00D2152D" w:rsidRDefault="00046464" w:rsidP="00D2152D">
    <w:pPr>
      <w:pStyle w:val="Pieddepage"/>
      <w:jc w:val="right"/>
      <w:rPr>
        <w:rFonts w:ascii="Rockwell" w:hAnsi="Rockwell"/>
        <w:color w:val="2B2B2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DAD26" w14:textId="77777777" w:rsidR="00046464" w:rsidRDefault="00046464" w:rsidP="00D2152D">
      <w:r>
        <w:separator/>
      </w:r>
    </w:p>
  </w:footnote>
  <w:footnote w:type="continuationSeparator" w:id="0">
    <w:p w14:paraId="278A410A" w14:textId="77777777" w:rsidR="00046464" w:rsidRDefault="00046464" w:rsidP="00D21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05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0"/>
      <w:gridCol w:w="5708"/>
    </w:tblGrid>
    <w:tr w:rsidR="00046464" w:rsidRPr="0078389B" w14:paraId="224F90B2" w14:textId="77777777" w:rsidTr="00820599">
      <w:tc>
        <w:tcPr>
          <w:tcW w:w="4890" w:type="dxa"/>
        </w:tcPr>
        <w:p w14:paraId="446F3BFD" w14:textId="77777777" w:rsidR="00046464" w:rsidRDefault="00046464" w:rsidP="00D2152D">
          <w:pPr>
            <w:pStyle w:val="En-tte"/>
            <w:tabs>
              <w:tab w:val="clear" w:pos="4536"/>
              <w:tab w:val="clear" w:pos="9072"/>
              <w:tab w:val="left" w:pos="3493"/>
            </w:tabs>
          </w:pPr>
          <w:r>
            <w:rPr>
              <w:noProof/>
              <w:lang w:val="fr-FR"/>
            </w:rPr>
            <w:drawing>
              <wp:inline distT="0" distB="0" distL="0" distR="0" wp14:anchorId="7D63FAEA" wp14:editId="7F9DEC59">
                <wp:extent cx="1947950" cy="889335"/>
                <wp:effectExtent l="0" t="0" r="8255" b="0"/>
                <wp:docPr id="6" name="Image 6" descr="Macintosh HD:Users:bguthleben:Desktop: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bguthleben:Desktop: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950" cy="88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8" w:type="dxa"/>
        </w:tcPr>
        <w:p w14:paraId="7A5D3FEF" w14:textId="77777777" w:rsidR="00046464" w:rsidRPr="00896226" w:rsidRDefault="00046464" w:rsidP="007D2F7C">
          <w:pPr>
            <w:jc w:val="right"/>
            <w:rPr>
              <w:rFonts w:ascii="Helvetica" w:hAnsi="Helvetica"/>
              <w:b/>
              <w:color w:val="808080"/>
              <w:sz w:val="20"/>
              <w:szCs w:val="20"/>
              <w:lang w:val="fr-FR"/>
            </w:rPr>
          </w:pPr>
          <w:r w:rsidRPr="007D2F7C">
            <w:rPr>
              <w:rFonts w:ascii="Helvetica" w:hAnsi="Helvetica"/>
              <w:b/>
              <w:color w:val="808080"/>
              <w:sz w:val="20"/>
              <w:szCs w:val="20"/>
              <w:lang w:val="fr-FR"/>
            </w:rPr>
            <w:br/>
          </w:r>
          <w:r w:rsidRPr="00896226">
            <w:rPr>
              <w:rFonts w:ascii="Helvetica" w:hAnsi="Helvetica"/>
              <w:b/>
              <w:color w:val="808080"/>
              <w:sz w:val="20"/>
              <w:szCs w:val="20"/>
              <w:lang w:val="fr-FR"/>
            </w:rPr>
            <w:t>Contact</w:t>
          </w:r>
          <w:r>
            <w:rPr>
              <w:rFonts w:ascii="Helvetica" w:hAnsi="Helvetica"/>
              <w:b/>
              <w:color w:val="808080"/>
              <w:sz w:val="20"/>
              <w:szCs w:val="20"/>
              <w:lang w:val="fr-FR"/>
            </w:rPr>
            <w:t xml:space="preserve">s </w:t>
          </w:r>
          <w:r w:rsidRPr="00896226">
            <w:rPr>
              <w:rFonts w:ascii="Helvetica" w:hAnsi="Helvetica"/>
              <w:b/>
              <w:color w:val="808080"/>
              <w:sz w:val="20"/>
              <w:szCs w:val="20"/>
              <w:lang w:val="fr-FR"/>
            </w:rPr>
            <w:t>presse:</w:t>
          </w:r>
        </w:p>
        <w:p w14:paraId="666AAAA9" w14:textId="77777777" w:rsidR="00046464" w:rsidRPr="00896226" w:rsidRDefault="00046464" w:rsidP="007D2F7C">
          <w:pPr>
            <w:jc w:val="right"/>
            <w:rPr>
              <w:rFonts w:ascii="Helvetica" w:hAnsi="Helvetica"/>
              <w:b/>
              <w:color w:val="808080"/>
              <w:sz w:val="20"/>
              <w:szCs w:val="20"/>
              <w:lang w:val="fr-FR"/>
            </w:rPr>
          </w:pPr>
          <w:r>
            <w:rPr>
              <w:rFonts w:ascii="Helvetica" w:hAnsi="Helvetica"/>
              <w:b/>
              <w:color w:val="808080"/>
              <w:sz w:val="20"/>
              <w:szCs w:val="20"/>
              <w:lang w:val="fr-FR"/>
            </w:rPr>
            <w:t xml:space="preserve">Agence Open2Europe </w:t>
          </w:r>
        </w:p>
        <w:p w14:paraId="2521F288" w14:textId="77777777" w:rsidR="00046464" w:rsidRPr="00496B25" w:rsidRDefault="00046464" w:rsidP="007D2F7C">
          <w:pPr>
            <w:jc w:val="right"/>
            <w:rPr>
              <w:rFonts w:ascii="Helvetica" w:hAnsi="Helvetica"/>
              <w:b/>
              <w:color w:val="808080"/>
              <w:sz w:val="20"/>
              <w:szCs w:val="20"/>
              <w:lang w:val="fr-FR"/>
            </w:rPr>
          </w:pPr>
          <w:r w:rsidRPr="00496B25">
            <w:rPr>
              <w:rFonts w:ascii="Helvetica" w:hAnsi="Helvetica"/>
              <w:b/>
              <w:color w:val="808080"/>
              <w:sz w:val="20"/>
              <w:szCs w:val="20"/>
              <w:lang w:val="fr-FR"/>
            </w:rPr>
            <w:t xml:space="preserve">Mélanie GALLET - 01 55 02 27 98 - </w:t>
          </w:r>
          <w:hyperlink r:id="rId2" w:history="1">
            <w:r w:rsidRPr="00496B25">
              <w:rPr>
                <w:rFonts w:ascii="Helvetica" w:hAnsi="Helvetica"/>
                <w:b/>
                <w:color w:val="808080"/>
                <w:sz w:val="20"/>
                <w:szCs w:val="20"/>
                <w:lang w:val="fr-FR"/>
              </w:rPr>
              <w:t>m.gallet@open2europe.com</w:t>
            </w:r>
          </w:hyperlink>
        </w:p>
        <w:p w14:paraId="22621CC8" w14:textId="77777777" w:rsidR="00046464" w:rsidRPr="005F587A" w:rsidRDefault="00046464" w:rsidP="007D2F7C">
          <w:pPr>
            <w:jc w:val="right"/>
            <w:rPr>
              <w:rFonts w:ascii="Helvetica" w:hAnsi="Helvetica"/>
              <w:b/>
              <w:color w:val="808080"/>
              <w:sz w:val="20"/>
              <w:szCs w:val="20"/>
              <w:lang w:val="fr-FR"/>
            </w:rPr>
          </w:pPr>
          <w:r w:rsidRPr="005F587A">
            <w:rPr>
              <w:rFonts w:ascii="Helvetica" w:hAnsi="Helvetica"/>
              <w:b/>
              <w:color w:val="808080"/>
              <w:sz w:val="20"/>
              <w:szCs w:val="20"/>
              <w:lang w:val="fr-FR"/>
            </w:rPr>
            <w:t xml:space="preserve">Delphine BOUTRIN - 01 55 02 14 74 - </w:t>
          </w:r>
          <w:hyperlink r:id="rId3" w:history="1">
            <w:r w:rsidRPr="005F587A">
              <w:rPr>
                <w:rFonts w:ascii="Helvetica" w:hAnsi="Helvetica"/>
                <w:b/>
                <w:color w:val="808080"/>
                <w:sz w:val="20"/>
                <w:szCs w:val="20"/>
                <w:lang w:val="fr-FR"/>
              </w:rPr>
              <w:t>d.boutrin@open2europe.com</w:t>
            </w:r>
          </w:hyperlink>
        </w:p>
        <w:p w14:paraId="28F6E22D" w14:textId="77777777" w:rsidR="00046464" w:rsidRPr="005F587A" w:rsidRDefault="00046464" w:rsidP="00D05F04">
          <w:pPr>
            <w:jc w:val="right"/>
            <w:rPr>
              <w:rFonts w:ascii="Helvetica" w:hAnsi="Helvetica"/>
              <w:color w:val="808080"/>
              <w:sz w:val="20"/>
              <w:szCs w:val="20"/>
              <w:lang w:val="fr-FR"/>
            </w:rPr>
          </w:pPr>
        </w:p>
      </w:tc>
    </w:tr>
  </w:tbl>
  <w:p w14:paraId="616EC6EB" w14:textId="77777777" w:rsidR="00046464" w:rsidRPr="005F587A" w:rsidRDefault="00046464" w:rsidP="00820599">
    <w:pPr>
      <w:pStyle w:val="En-tte"/>
      <w:tabs>
        <w:tab w:val="clear" w:pos="4536"/>
        <w:tab w:val="clear" w:pos="9072"/>
        <w:tab w:val="left" w:pos="3493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71C"/>
    <w:multiLevelType w:val="hybridMultilevel"/>
    <w:tmpl w:val="50AADA96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4D32449"/>
    <w:multiLevelType w:val="hybridMultilevel"/>
    <w:tmpl w:val="9CAABBB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élanie Gallet">
    <w15:presenceInfo w15:providerId="AD" w15:userId="S-1-5-21-1878549943-2239447733-412016725-2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A3"/>
    <w:rsid w:val="000371A1"/>
    <w:rsid w:val="00045E33"/>
    <w:rsid w:val="00046464"/>
    <w:rsid w:val="000527AA"/>
    <w:rsid w:val="000547CE"/>
    <w:rsid w:val="00066280"/>
    <w:rsid w:val="000823E8"/>
    <w:rsid w:val="000F3570"/>
    <w:rsid w:val="000F77A3"/>
    <w:rsid w:val="00140464"/>
    <w:rsid w:val="00176B73"/>
    <w:rsid w:val="001A59DC"/>
    <w:rsid w:val="001A5FF5"/>
    <w:rsid w:val="00223639"/>
    <w:rsid w:val="002775BA"/>
    <w:rsid w:val="0029660A"/>
    <w:rsid w:val="00314D99"/>
    <w:rsid w:val="00361E4A"/>
    <w:rsid w:val="003A4EE4"/>
    <w:rsid w:val="00433B0D"/>
    <w:rsid w:val="004721A3"/>
    <w:rsid w:val="00484A2E"/>
    <w:rsid w:val="004D3896"/>
    <w:rsid w:val="00532597"/>
    <w:rsid w:val="00540F50"/>
    <w:rsid w:val="00580269"/>
    <w:rsid w:val="005901DD"/>
    <w:rsid w:val="00592131"/>
    <w:rsid w:val="005F0AB0"/>
    <w:rsid w:val="005F587A"/>
    <w:rsid w:val="00657A34"/>
    <w:rsid w:val="0066648B"/>
    <w:rsid w:val="006F3130"/>
    <w:rsid w:val="00711B05"/>
    <w:rsid w:val="0072333A"/>
    <w:rsid w:val="00740B31"/>
    <w:rsid w:val="0078098B"/>
    <w:rsid w:val="0078389B"/>
    <w:rsid w:val="00794B0B"/>
    <w:rsid w:val="00796598"/>
    <w:rsid w:val="007B405E"/>
    <w:rsid w:val="007C3150"/>
    <w:rsid w:val="007C64FE"/>
    <w:rsid w:val="007D2F7C"/>
    <w:rsid w:val="007E0D20"/>
    <w:rsid w:val="00811035"/>
    <w:rsid w:val="00812822"/>
    <w:rsid w:val="00820599"/>
    <w:rsid w:val="00844BB7"/>
    <w:rsid w:val="00873D6C"/>
    <w:rsid w:val="0088093F"/>
    <w:rsid w:val="00912FC6"/>
    <w:rsid w:val="00955E47"/>
    <w:rsid w:val="009E57B7"/>
    <w:rsid w:val="009F1BB5"/>
    <w:rsid w:val="00A11EFE"/>
    <w:rsid w:val="00A153E9"/>
    <w:rsid w:val="00A3353C"/>
    <w:rsid w:val="00A706CB"/>
    <w:rsid w:val="00AC796E"/>
    <w:rsid w:val="00AE77B4"/>
    <w:rsid w:val="00BE3090"/>
    <w:rsid w:val="00C14249"/>
    <w:rsid w:val="00C86700"/>
    <w:rsid w:val="00CA54F1"/>
    <w:rsid w:val="00D05F04"/>
    <w:rsid w:val="00D1072E"/>
    <w:rsid w:val="00D126E3"/>
    <w:rsid w:val="00D2152D"/>
    <w:rsid w:val="00DD25EF"/>
    <w:rsid w:val="00E76EC4"/>
    <w:rsid w:val="00EC5CE2"/>
    <w:rsid w:val="00EC707B"/>
    <w:rsid w:val="00EE3D2D"/>
    <w:rsid w:val="00F35F58"/>
    <w:rsid w:val="00F570D7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71B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52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15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152D"/>
  </w:style>
  <w:style w:type="paragraph" w:styleId="Pieddepage">
    <w:name w:val="footer"/>
    <w:basedOn w:val="Normal"/>
    <w:link w:val="PieddepageCar"/>
    <w:uiPriority w:val="99"/>
    <w:unhideWhenUsed/>
    <w:rsid w:val="00D215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52D"/>
  </w:style>
  <w:style w:type="table" w:styleId="Grille">
    <w:name w:val="Table Grid"/>
    <w:basedOn w:val="TableauNormal"/>
    <w:uiPriority w:val="39"/>
    <w:rsid w:val="0082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2F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zh-TW"/>
    </w:rPr>
  </w:style>
  <w:style w:type="paragraph" w:styleId="Paragraphedeliste">
    <w:name w:val="List Paragraph"/>
    <w:basedOn w:val="Normal"/>
    <w:uiPriority w:val="34"/>
    <w:qFormat/>
    <w:rsid w:val="007D2F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5E33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40F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0F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0F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0F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0F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52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15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152D"/>
  </w:style>
  <w:style w:type="paragraph" w:styleId="Pieddepage">
    <w:name w:val="footer"/>
    <w:basedOn w:val="Normal"/>
    <w:link w:val="PieddepageCar"/>
    <w:uiPriority w:val="99"/>
    <w:unhideWhenUsed/>
    <w:rsid w:val="00D215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52D"/>
  </w:style>
  <w:style w:type="table" w:styleId="Grille">
    <w:name w:val="Table Grid"/>
    <w:basedOn w:val="TableauNormal"/>
    <w:uiPriority w:val="39"/>
    <w:rsid w:val="0082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2F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zh-TW"/>
    </w:rPr>
  </w:style>
  <w:style w:type="paragraph" w:styleId="Paragraphedeliste">
    <w:name w:val="List Paragraph"/>
    <w:basedOn w:val="Normal"/>
    <w:uiPriority w:val="34"/>
    <w:qFormat/>
    <w:rsid w:val="007D2F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5E33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40F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0F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0F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0F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0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hrspeaks.net/speakers2014" TargetMode="External"/><Relationship Id="rId10" Type="http://schemas.openxmlformats.org/officeDocument/2006/relationships/hyperlink" Target="http://www.takewin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.gallet@open2europe.com" TargetMode="External"/><Relationship Id="rId3" Type="http://schemas.openxmlformats.org/officeDocument/2006/relationships/hyperlink" Target="mailto:d.boutrin@open2europ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\AppData\Local\Temp\Temp2_Elements%20Charte%20Graphique.zip\Elements%20Charte%20Graphique\Communique&#9568;&#252;%20de%20Press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9503D-A43F-E145-BC05-34274075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\Users\MGA\AppData\Local\Temp\Temp2_Elements Charte Graphique.zip\Elements Charte Graphique\Communique╠ü de Presse.dotx</Template>
  <TotalTime>0</TotalTime>
  <Pages>2</Pages>
  <Words>882</Words>
  <Characters>4857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Gallet</dc:creator>
  <cp:lastModifiedBy>Benjamin Guthleben</cp:lastModifiedBy>
  <cp:revision>2</cp:revision>
  <cp:lastPrinted>2014-11-06T12:33:00Z</cp:lastPrinted>
  <dcterms:created xsi:type="dcterms:W3CDTF">2014-11-06T16:59:00Z</dcterms:created>
  <dcterms:modified xsi:type="dcterms:W3CDTF">2014-11-06T16:59:00Z</dcterms:modified>
</cp:coreProperties>
</file>